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3.0 -->
  <w:body>
    <w:p>
      <w:pPr>
        <w:spacing w:before="0" w:after="0" w:line="259" w:lineRule="auto"/>
        <w:ind w:firstLine="708"/>
        <w:jc w:val="center"/>
        <w:rPr>
          <w:sz w:val="32"/>
          <w:szCs w:val="32"/>
        </w:rPr>
      </w:pPr>
      <w:bookmarkStart w:id="0" w:name="_Hlk96251404"/>
      <w:r>
        <w:rPr>
          <w:sz w:val="32"/>
          <w:szCs w:val="32"/>
        </w:rPr>
        <w:br/>
      </w:r>
      <w:r>
        <w:rPr>
          <w:b/>
          <w:bCs/>
          <w:color w:val="212529"/>
          <w:sz w:val="28"/>
          <w:szCs w:val="28"/>
        </w:rPr>
        <w:t>Данные о точках поставки</w:t>
      </w:r>
    </w:p>
    <w:p>
      <w:pPr>
        <w:spacing w:before="0" w:after="0" w:line="259" w:lineRule="auto"/>
        <w:jc w:val="both"/>
        <w:rPr>
          <w:sz w:val="28"/>
          <w:szCs w:val="28"/>
        </w:rPr>
      </w:pPr>
      <w:r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(данные из Приложения 3.1 «Перечень точек поставки, по которым производится расчет за отпущенную электроэнергию и мощность» действующего договора энергоснабжения с ГУП РК «Крымэнерго»):</w:t>
      </w:r>
      <w:bookmarkEnd w:id="0"/>
    </w:p>
    <w:tbl>
      <w:tblPr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3"/>
        <w:gridCol w:w="1057"/>
        <w:gridCol w:w="1177"/>
        <w:gridCol w:w="707"/>
        <w:gridCol w:w="1295"/>
        <w:gridCol w:w="768"/>
        <w:gridCol w:w="768"/>
        <w:gridCol w:w="669"/>
        <w:gridCol w:w="890"/>
        <w:gridCol w:w="1056"/>
      </w:tblGrid>
      <w:tr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928"/>
          <w:jc w:val="center"/>
        </w:trPr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vAlign w:val="top"/>
            <w:hideMark/>
          </w:tcPr>
          <w:p>
            <w:pPr>
              <w:spacing w:before="0" w:after="0"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Наименование точки поставки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vAlign w:val="top"/>
            <w:hideMark/>
          </w:tcPr>
          <w:p>
            <w:pPr>
              <w:spacing w:before="0" w:after="0"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>Адрес точки поставки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vAlign w:val="top"/>
            <w:hideMark/>
          </w:tcPr>
          <w:p>
            <w:pPr>
              <w:spacing w:before="0" w:after="0"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Тарифный уровень напряжения (ВН/СН1/СН2/НН)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vAlign w:val="top"/>
            <w:hideMark/>
          </w:tcPr>
          <w:p>
            <w:pPr>
              <w:spacing w:before="0" w:after="0"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>
            <w:pPr>
              <w:spacing w:before="0" w:after="0"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Ценовая категория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vAlign w:val="top"/>
            <w:hideMark/>
          </w:tcPr>
          <w:p>
            <w:pPr>
              <w:spacing w:before="0" w:after="0"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мощность энергопринимающих устройств, кВт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vAlign w:val="top"/>
            <w:hideMark/>
          </w:tcPr>
          <w:p>
            <w:pPr>
              <w:spacing w:before="0" w:after="0"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расчетного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прибора учета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vAlign w:val="top"/>
            <w:hideMark/>
          </w:tcPr>
          <w:p>
            <w:pPr>
              <w:spacing w:before="0" w:after="0"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расчетного прибора учета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vAlign w:val="top"/>
            <w:hideMark/>
          </w:tcPr>
          <w:p>
            <w:pPr>
              <w:spacing w:before="0" w:after="0"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точности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прибора учета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vAlign w:val="top"/>
            <w:hideMark/>
          </w:tcPr>
          <w:p>
            <w:pPr>
              <w:spacing w:before="0" w:after="0"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коэффициент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vAlign w:val="top"/>
            <w:hideMark/>
          </w:tcPr>
          <w:p>
            <w:pPr>
              <w:spacing w:before="0" w:after="0"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Потери (начисляются/не начисляются)</w:t>
            </w:r>
          </w:p>
        </w:tc>
      </w:tr>
      <w:tr>
        <w:tblPrEx>
          <w:jc w:val="cente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торговой инфраструктуры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Симферопольский р-н, с. Школьное,ул. Мира,26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НН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974882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начисляются</w:t>
            </w:r>
          </w:p>
        </w:tc>
      </w:tr>
      <w:tr>
        <w:tblPrEx>
          <w:jc w:val="cente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>
        <w:tblPrEx>
          <w:jc w:val="cente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>
        <w:tblPrEx>
          <w:jc w:val="cente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>
        <w:tblPrEx>
          <w:jc w:val="cente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>
        <w:tblPrEx>
          <w:jc w:val="cente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>
        <w:tblPrEx>
          <w:jc w:val="cente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>
        <w:tblPrEx>
          <w:jc w:val="cente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71" w:type="dxa"/>
            <w:tcBorders>
              <w:top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>
      <w:pPr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Calibri" w:eastAsia="Calibri" w:hAnsi="Calibri" w:cs="Calibri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Calibri" w:eastAsia="Calibri" w:hAnsi="Calibri" w:cs="Calibri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Calibri" w:eastAsia="Calibri" w:hAnsi="Calibri" w:cs="Calibri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Calibri" w:eastAsia="Calibri" w:hAnsi="Calibri" w:cs="Calibri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Calibri" w:eastAsia="Calibri" w:hAnsi="Calibri" w:cs="Calibri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Calibri" w:eastAsia="Calibri" w:hAnsi="Calibri" w:cs="Calibri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