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1C3" w14:textId="77777777" w:rsidR="00917F11" w:rsidRDefault="00DF0292" w:rsidP="00917F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Последствия бездоговорного и </w:t>
      </w:r>
      <w:proofErr w:type="spellStart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потребления электрической энергии</w:t>
      </w:r>
    </w:p>
    <w:p w14:paraId="13DB1699" w14:textId="23B3294C" w:rsidR="00917F11" w:rsidRPr="00DF0292" w:rsidRDefault="00917F11" w:rsidP="00D407E8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Постановлени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Правительства РФ от 04.05.2012 № 442 (далее – Основные положения)</w:t>
      </w:r>
    </w:p>
    <w:p w14:paraId="288A6412" w14:textId="56FEA3C7" w:rsidR="00DF0292" w:rsidRPr="00DF0292" w:rsidRDefault="00DF0292" w:rsidP="00917F1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BC8970A" w14:textId="77777777" w:rsidR="00917F11" w:rsidRPr="00917F11" w:rsidRDefault="00917F11" w:rsidP="00917F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19DAE3C4" w14:textId="5D82575F" w:rsidR="00DF0292" w:rsidRPr="001732FA" w:rsidRDefault="00DF029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Безучетное</w:t>
      </w:r>
      <w:proofErr w:type="spellEnd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потребление электроэнергии 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потребление электрической энергии с нарушением установленного договором энергоснабжения (купли-продажи (поставки) электрической энергии (мощности), оказания услуг по передаче электрической энергии) и Основных положений порядка учета электрической энергии со стороны потребителя (покупателя), выразившимся</w:t>
      </w:r>
      <w:r w:rsidR="001732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вмешательстве в работу прибора учета, измерительного комплекса, измерительных трансформаторов тока и (или) напряжения, соединенных между собой по установленной схеме вторичными цепями, через которые приборы учета установлены (подключены) (далее - измерительные трансформаторы), системы учета, компонентов интеллектуальной системы учета электрической энергии (мощности) в случаях нарушения целостности (повреждения) прибора учета, измерительного комплекса, измерительных трансформаторов, нарушения (повреждения) пломб и (или) знаков визуального контроля, нанесенных на прибор учета, измерительный комплекс, измерительные трансформаторы, систему учета, компоненты интеллектуальной системы электрической энергии (мощности), на приспособления, препятствующие доступу к ним, расположенные до места установки прибора учета электрической энергии (точки измерения прибором учета), когда в соответствии с </w:t>
      </w:r>
      <w:r w:rsidR="001732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положениями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прибор учета, измерительный комплекс, измерительные трансформаторы, система учета, компоненты интеллектуальной системы учета электрической энергии (мощности) установлены в границах балансовой принадлежности потребителя (покупателя) и (или) в границах земельного участка, принадлежащего такому потребителю на праве собственности или ином законном основании, на котором расположены энергопринимающие устройства потребителя (далее - границы земельного участка) или, если обязанность по обеспечению целостности и сохранности прибора учета, измерительного комплекса, измерительных трансформаторов (системы учета) возложена на потребителя (покупателя), а также с нарушением указанного порядка, обнаруженным в границах балансовой принадлежности потребителя (покупателя) подключения энергопринимающих устройств до точки измерения прибором учета или в границах земельного участка потребителя (покупателя) подключения до точки измерения прибором учета энергопринимающих устройств, расположенных в границах этого земельного участка.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14:paraId="1A915D62" w14:textId="23E1DB1C" w:rsidR="00DF0292" w:rsidRDefault="00DF029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2 Основны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положени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й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14:paraId="2A9F8EB9" w14:textId="463328F9" w:rsidR="00917F11" w:rsidRDefault="00917F11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F407065" w14:textId="78DEC4DC" w:rsidR="001732FA" w:rsidRDefault="00917F11" w:rsidP="001732F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Бездоговорное потребление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рынках,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 </w:t>
      </w:r>
      <w:r w:rsidR="001732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Основных положениях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00530A44" w14:textId="7624B272" w:rsidR="00917F11" w:rsidRPr="00DF0292" w:rsidRDefault="00917F11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2 Основных положений).</w:t>
      </w:r>
    </w:p>
    <w:p w14:paraId="0992D54E" w14:textId="77777777" w:rsidR="001732FA" w:rsidRDefault="00917F11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потребитель (покупатель), заключивший с гарантирующим поставщиком (энергосбытовой, энергоснабжающей организацией) договор купли-продажи (поставки) электрической энергии (мощности), не обратился в сетевую организацию для заключения договора оказания услуг по передаче электрической энергии, то исполнение по договору купли-продажи (поставки) электрической энергии не начинается. </w:t>
      </w:r>
    </w:p>
    <w:p w14:paraId="0CBD9278" w14:textId="4194EE9D" w:rsidR="00917F11" w:rsidRPr="00917F11" w:rsidRDefault="00917F11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при этом потребитель, который или в интересах которого заключен договор купли-продажи (поставки) электрической энергии (мощности), до заключения и начала исполнения договора оказания услуг по передаче электрической энергии приступил к потреблению электрической энергии, то такой потребитель несет ответственность за бездоговорное потребление электрической энергии.</w:t>
      </w:r>
    </w:p>
    <w:p w14:paraId="5FA8CF2C" w14:textId="77777777" w:rsidR="00917F11" w:rsidRPr="00917F11" w:rsidRDefault="00917F11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dst100716"/>
      <w:bookmarkEnd w:id="0"/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потребитель, заключивший договор купли-продажи (поставки) электрической энергии (мощности),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договор, а также о дате и времени прекращения снабжения электрической энергией по нему:</w:t>
      </w:r>
    </w:p>
    <w:p w14:paraId="6A20C16F" w14:textId="77777777" w:rsidR="00917F11" w:rsidRPr="00917F11" w:rsidRDefault="00917F11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dst100717"/>
      <w:bookmarkEnd w:id="1"/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сетевая организация продолжает оказывать услуги по передаче электрической энергии до получения от потребителя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- то до истечения 3 рабочих дней с даты и времени получения сетевой организацией такого уведомления;</w:t>
      </w:r>
    </w:p>
    <w:p w14:paraId="05A9B6EA" w14:textId="77777777" w:rsidR="00917F11" w:rsidRPr="00917F11" w:rsidRDefault="00917F11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dst100718"/>
      <w:bookmarkEnd w:id="2"/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потребитель обязан компенсировать стоимость оказанных сетевой организацией услуг по передаче электрической энергии.</w:t>
      </w:r>
    </w:p>
    <w:p w14:paraId="5ADADE96" w14:textId="308635C7" w:rsidR="00917F11" w:rsidRDefault="00917F11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127 Основных положений)</w:t>
      </w:r>
    </w:p>
    <w:p w14:paraId="27C9E80A" w14:textId="77777777" w:rsidR="00D407E8" w:rsidRPr="00DF0292" w:rsidRDefault="00D407E8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88DA9C3" w14:textId="467830D3" w:rsidR="00DF0292" w:rsidRDefault="00DF0292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Порядок выявления </w:t>
      </w:r>
      <w:proofErr w:type="spellStart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87A98" w:rsidRPr="00917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 бездоговорного </w:t>
      </w: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потребления</w:t>
      </w:r>
    </w:p>
    <w:p w14:paraId="0BF5E559" w14:textId="77777777" w:rsidR="001732FA" w:rsidRPr="00DF0292" w:rsidRDefault="001732FA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DF79E06" w14:textId="3342413E" w:rsidR="00782E5B" w:rsidRPr="00917F11" w:rsidRDefault="00782E5B" w:rsidP="00917F11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Сетевые организации и гарантирующие поставщики проверяют соблюдение требований </w:t>
      </w:r>
      <w:r w:rsidR="001732F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Основных положений</w:t>
      </w: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определяющих порядок учета электрической энергии, условий заключенных договоров энергоснабжения (купли-продажи (поставки) электрической энергии (мощности), договоров оказания услуг по передаче электрической энергии, договоров оказания услуг оперативно-диспетчерского управления в части организации коммерческого учета, а также проводят проверки на предмет выявления фактов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потребления и бездоговорного потребления электрической энергии.</w:t>
      </w:r>
    </w:p>
    <w:p w14:paraId="540964A3" w14:textId="3E6D82EF" w:rsidR="00782E5B" w:rsidRDefault="00782E5B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(п. 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169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F368DAF" w14:textId="77777777" w:rsidR="001732FA" w:rsidRPr="00DF0292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43B9E4E" w14:textId="77777777" w:rsidR="00D75358" w:rsidRPr="00D75358" w:rsidRDefault="00D75358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факту выявленного в ходе проверки </w:t>
      </w:r>
      <w:proofErr w:type="spellStart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адрес:</w:t>
      </w:r>
    </w:p>
    <w:p w14:paraId="2E351A83" w14:textId="77777777" w:rsidR="00D75358" w:rsidRPr="00D75358" w:rsidRDefault="00D75358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dst2057"/>
      <w:bookmarkEnd w:id="3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гарантирующего поставщика (энергосбытовой, энергоснабжающей организации), обслуживающего потребителя, осуществившего </w:t>
      </w:r>
      <w:proofErr w:type="spellStart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безучетное</w:t>
      </w:r>
      <w:proofErr w:type="spellEnd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потребление;</w:t>
      </w:r>
    </w:p>
    <w:p w14:paraId="4646D6F3" w14:textId="77777777" w:rsidR="00D75358" w:rsidRPr="00D75358" w:rsidRDefault="00D75358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dst2058"/>
      <w:bookmarkEnd w:id="4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осуществившего бездоговорное потребление.</w:t>
      </w:r>
    </w:p>
    <w:p w14:paraId="26B10D6F" w14:textId="77777777" w:rsidR="00D75358" w:rsidRPr="00D75358" w:rsidRDefault="00D75358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dst2059"/>
      <w:bookmarkEnd w:id="5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Факт </w:t>
      </w:r>
      <w:proofErr w:type="spellStart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 может быть выявлен в том числе при проведении проверки состояния приборов учета, а также в ходе проведения осмотра прибора учета перед его демонтажем.</w:t>
      </w:r>
    </w:p>
    <w:p w14:paraId="715D170A" w14:textId="7A0704CD" w:rsidR="00D75358" w:rsidRPr="00917F11" w:rsidRDefault="00D75358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dst2060"/>
      <w:bookmarkEnd w:id="6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сетевая организация не присутствовала при проведении гарантирующим поставщиком (энергосбытовой, энергоснабжающей организацией) проверки состояния приборов учета, в результате которой был выявлен факт </w:t>
      </w:r>
      <w:proofErr w:type="spellStart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D75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потребления, то акт о неучтенном потреблении электрической энергии составляется гарантирующим поставщиком (энергосбытовой, энергоснабжающей организацией) и не позднее 3 рабочих дней со дня его составления передается в сетевую организацию.</w:t>
      </w:r>
    </w:p>
    <w:p w14:paraId="6F7E69CC" w14:textId="589714CB" w:rsidR="00D75358" w:rsidRDefault="00D75358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(п. 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177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70587F0" w14:textId="6A3CD402" w:rsidR="001732FA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2D93711" w14:textId="7080E466" w:rsidR="001732FA" w:rsidRDefault="001732FA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Ограничение режима потребления</w:t>
      </w:r>
    </w:p>
    <w:p w14:paraId="1BC71C5C" w14:textId="77777777" w:rsidR="001732FA" w:rsidRPr="00DF0292" w:rsidRDefault="001732FA" w:rsidP="001732F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2227A0B" w14:textId="77777777" w:rsidR="001732FA" w:rsidRPr="00917F11" w:rsidRDefault="001732FA" w:rsidP="00173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выявлением факта бездоговорного потребления электрической энергии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энергопринимающие устройства и (или) объекты электроэнергетики лица, осуществляющего бездоговорное потребление электрической энергии, обязана обеспечить введение полного и (или) частичного ограничения режима потребления в отношении такого лица.</w:t>
      </w:r>
    </w:p>
    <w:p w14:paraId="3FB0BCEE" w14:textId="3C293C4A" w:rsidR="001732FA" w:rsidRPr="00917F11" w:rsidRDefault="001732FA" w:rsidP="00173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dst1513"/>
      <w:bookmarkStart w:id="8" w:name="dst906"/>
      <w:bookmarkStart w:id="9" w:name="dst100693"/>
      <w:bookmarkEnd w:id="7"/>
      <w:bookmarkEnd w:id="8"/>
      <w:bookmarkEnd w:id="9"/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выявлении факта бездоговорного потребления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энергопринимающие устройства и (или) объекты электроэнергетики лица, осуществляющего бездоговорное потребление электрической энергии, составляет в соответствии с </w:t>
      </w:r>
      <w:hyperlink r:id="rId5" w:anchor="dst1795" w:history="1">
        <w:r w:rsidRPr="00917F11">
          <w:rPr>
            <w:rFonts w:ascii="Arial" w:eastAsia="Times New Roman" w:hAnsi="Arial" w:cs="Arial"/>
            <w:color w:val="666699"/>
            <w:sz w:val="20"/>
            <w:szCs w:val="20"/>
            <w:u w:val="single"/>
            <w:lang w:eastAsia="ru-RU"/>
          </w:rPr>
          <w:t>разделом X</w:t>
        </w:r>
      </w:hyperlink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Основных положений акт о неучтенном потреблении электрической энергии, в котором указывает определяемые в соответствии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Основными положениями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дату и время введения ограничения режима потребления в отношении такого лица, а также характеристики энергопринимающих устройств, в отношении которых вводится полное ограничение режима потребления.</w:t>
      </w:r>
    </w:p>
    <w:p w14:paraId="7A4CD47E" w14:textId="14FAABB7" w:rsidR="001732FA" w:rsidRPr="00DF0292" w:rsidRDefault="001732FA" w:rsidP="001732F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121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A9E380E" w14:textId="77777777" w:rsidR="001732FA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35DF609" w14:textId="2C9352B0" w:rsidR="001732FA" w:rsidRPr="00DF0292" w:rsidRDefault="001732FA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Стоимость</w:t>
      </w: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потребления</w:t>
      </w:r>
    </w:p>
    <w:p w14:paraId="5D0159F0" w14:textId="17E4297A" w:rsidR="001732FA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AE99A57" w14:textId="77777777" w:rsidR="001732FA" w:rsidRPr="00DF0292" w:rsidRDefault="001732FA" w:rsidP="00173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Стоимость электрической энергии (мощности) в объеме выявленного </w:t>
      </w:r>
      <w:proofErr w:type="spellStart"/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 электрической энергии (далее - стоимость объема </w:t>
      </w:r>
      <w:proofErr w:type="spellStart"/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потребления) рассчитывается и взыскивается гарантирующим поставщиком (энергосбытовой, энергоснабжающей организацией) с потребителя по договору энергоснабжения (купли-продажи (поставки) электрической энергии (мощности)) на основании акта о неучтенном потреблении электрической энергии, составленного в соответствии с </w:t>
      </w:r>
      <w:hyperlink r:id="rId6" w:anchor="dst1795" w:history="1">
        <w:r w:rsidRPr="00DF029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разделом X</w:t>
        </w:r>
      </w:hyperlink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Основных положений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ED2DB10" w14:textId="77777777" w:rsidR="001732FA" w:rsidRPr="00DF0292" w:rsidRDefault="001732FA" w:rsidP="00173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dst100437"/>
      <w:bookmarkEnd w:id="10"/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Стоимость объема </w:t>
      </w:r>
      <w:proofErr w:type="spellStart"/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 по договору энергоснабжения (купли-продажи (поставки) электрической энергии (мощности)) рассчитывается по ценам на электрическую энергию (мощность), определяемым и применяемым в соответствии с </w:t>
      </w:r>
      <w:r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положениями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расчетный период, в котором составлен акт о неучтенном потреблении электрической энергии, а также условиями договора.</w:t>
      </w:r>
    </w:p>
    <w:p w14:paraId="0A2ADE64" w14:textId="6F9A543C" w:rsidR="001732FA" w:rsidRDefault="001732FA" w:rsidP="001732F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84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717E645" w14:textId="77777777" w:rsidR="001732FA" w:rsidRPr="00DF0292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B0FC036" w14:textId="2AD803C7" w:rsidR="00DF0292" w:rsidRDefault="00DF0292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Расчет объема </w:t>
      </w:r>
      <w:proofErr w:type="spellStart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потребления</w:t>
      </w:r>
    </w:p>
    <w:p w14:paraId="3C15BAF7" w14:textId="77777777" w:rsidR="001732FA" w:rsidRPr="00DF0292" w:rsidRDefault="001732FA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6F3DEDA" w14:textId="5A7CB8C2" w:rsidR="00D75358" w:rsidRPr="00917F11" w:rsidRDefault="00D75358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случаях отсутствия, неисправности, утраты или истечения интервала между поверками, истечения срока эксплуатации расчетного прибора учета, непредставления показаний расчетного прибора учета в установленные сроки,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(мощность) и оказанные услуги по передаче электрической энергии производится на основании замещающей информации с учетом особенностей, указанных в </w:t>
      </w:r>
      <w:hyperlink r:id="rId7" w:anchor="dst1796" w:history="1">
        <w:r w:rsidRPr="00917F11">
          <w:rPr>
            <w:rStyle w:val="a3"/>
            <w:rFonts w:ascii="Arial" w:hAnsi="Arial" w:cs="Arial"/>
            <w:color w:val="666699"/>
            <w:sz w:val="20"/>
            <w:szCs w:val="20"/>
            <w:u w:val="none"/>
            <w:shd w:val="clear" w:color="auto" w:fill="FFFFFF"/>
          </w:rPr>
          <w:t>пункте 136</w:t>
        </w:r>
      </w:hyperlink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Основных положений.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14:paraId="4CB3DEAB" w14:textId="0A44D3F5" w:rsidR="008360AC" w:rsidRDefault="008360AC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1</w:t>
      </w:r>
      <w:r w:rsidR="00D75358"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79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D841C46" w14:textId="77777777" w:rsidR="001732FA" w:rsidRPr="00917F11" w:rsidRDefault="001732FA" w:rsidP="00917F11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EE0AAD" w14:textId="1BBBC332" w:rsidR="006F4674" w:rsidRPr="00917F11" w:rsidRDefault="006F4674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Расчет объема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потребления или бездоговорного потребления электрической энергии осуществляется сетевой организацией в соответствии с </w:t>
      </w:r>
      <w:hyperlink r:id="rId8" w:anchor="dst2113" w:history="1">
        <w:r w:rsidRPr="00917F11">
          <w:rPr>
            <w:rStyle w:val="a3"/>
            <w:rFonts w:ascii="Arial" w:hAnsi="Arial" w:cs="Arial"/>
            <w:color w:val="666699"/>
            <w:sz w:val="20"/>
            <w:szCs w:val="20"/>
            <w:u w:val="none"/>
            <w:shd w:val="clear" w:color="auto" w:fill="FFFFFF"/>
          </w:rPr>
          <w:t>пунктом 187</w:t>
        </w:r>
      </w:hyperlink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 </w:t>
      </w:r>
      <w:hyperlink r:id="rId9" w:anchor="dst2124" w:history="1">
        <w:r w:rsidRPr="00917F11">
          <w:rPr>
            <w:rStyle w:val="a3"/>
            <w:rFonts w:ascii="Arial" w:hAnsi="Arial" w:cs="Arial"/>
            <w:color w:val="666699"/>
            <w:sz w:val="20"/>
            <w:szCs w:val="20"/>
            <w:u w:val="none"/>
            <w:shd w:val="clear" w:color="auto" w:fill="FFFFFF"/>
          </w:rPr>
          <w:t>189</w:t>
        </w:r>
      </w:hyperlink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360AC"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Основных положений</w:t>
      </w: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течение 2 рабочих дней со дня составления акта о неучтенном потреблении электрической энергии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безучетное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потребление (обслуживающим его гарантирующим поставщиком (энергосбытовой, энергоснабжающей организацией), или лицом, осуществляющим бездоговорное потребление электрической энергии. Расчет объема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потребления направляется сетевой организацией гарантирующему поставщику (энергосбытовой, энергоснабжающей организации), обслуживающему потребителя, осуществляющего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безучетное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потребление, вместе с актом о неучтенном потреблении электрической энергии в срок, установленный </w:t>
      </w:r>
      <w:hyperlink r:id="rId10" w:anchor="dst2056" w:history="1">
        <w:r w:rsidRPr="00917F11">
          <w:rPr>
            <w:rStyle w:val="a3"/>
            <w:rFonts w:ascii="Arial" w:hAnsi="Arial" w:cs="Arial"/>
            <w:color w:val="666699"/>
            <w:sz w:val="20"/>
            <w:szCs w:val="20"/>
            <w:u w:val="none"/>
            <w:shd w:val="clear" w:color="auto" w:fill="FFFFFF"/>
          </w:rPr>
          <w:t>пунктом 177</w:t>
        </w:r>
      </w:hyperlink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Основных положений.</w:t>
      </w:r>
    </w:p>
    <w:p w14:paraId="0C744F7C" w14:textId="673485DA" w:rsidR="006F4674" w:rsidRPr="00917F11" w:rsidRDefault="00141B19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(п. 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186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82F413A" w14:textId="0AD49599" w:rsidR="006F4674" w:rsidRPr="00917F11" w:rsidRDefault="006F4674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Объем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потребления в отношении потребителей электрической энергии (мощности), за исключением населения и приравненных к нему категорий потребителей, определяется с применением расчетного способа, предусмотренного </w:t>
      </w:r>
      <w:hyperlink r:id="rId11" w:anchor="dst102603" w:history="1">
        <w:r w:rsidRPr="00917F11">
          <w:rPr>
            <w:rStyle w:val="a3"/>
            <w:rFonts w:ascii="Arial" w:hAnsi="Arial" w:cs="Arial"/>
            <w:color w:val="666699"/>
            <w:sz w:val="20"/>
            <w:szCs w:val="20"/>
            <w:u w:val="none"/>
            <w:shd w:val="clear" w:color="auto" w:fill="FFFFFF"/>
          </w:rPr>
          <w:t>подпунктом "а" пункта 1</w:t>
        </w:r>
      </w:hyperlink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приложения N 3 к Основным положениям.</w:t>
      </w:r>
    </w:p>
    <w:p w14:paraId="5D6E97B9" w14:textId="4B9B5EFF" w:rsidR="006F4674" w:rsidRPr="006F4674" w:rsidRDefault="006F4674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этом в отношении потребителя, при осуществлении расчетов за электрическую энергию с которым используется ставка за мощность, помимо объема </w:t>
      </w:r>
      <w:proofErr w:type="spellStart"/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 также определяется величина мощности, приобретаемой по договору, обеспечивающему продажу электрической энергии (мощности), и величина мощности, оплачиваемой в части услуг по передаче электрической энергии, исходя из почасовых объемов потребления электрической энергии, определяемых в соответствии с </w:t>
      </w:r>
      <w:hyperlink r:id="rId12" w:anchor="dst102604" w:history="1">
        <w:r w:rsidRPr="006F4674">
          <w:rPr>
            <w:rFonts w:ascii="Arial" w:eastAsia="Times New Roman" w:hAnsi="Arial" w:cs="Arial"/>
            <w:color w:val="666699"/>
            <w:sz w:val="20"/>
            <w:szCs w:val="20"/>
            <w:u w:val="single"/>
            <w:lang w:eastAsia="ru-RU"/>
          </w:rPr>
          <w:t>подпунктом "б" пункта 1</w:t>
        </w:r>
      </w:hyperlink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приложения N 3 к </w:t>
      </w: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 положениям.</w:t>
      </w:r>
    </w:p>
    <w:p w14:paraId="76BF6CFE" w14:textId="7B8C03A2" w:rsidR="006F4674" w:rsidRPr="00917F11" w:rsidRDefault="006F4674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dst2117"/>
      <w:bookmarkEnd w:id="11"/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</w:t>
      </w:r>
      <w:proofErr w:type="spellStart"/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 определяется с даты предыдущей проверки прибора учета (в случае если такая проверка не была проведена в запланированные сроки, - определяется с даты, не позднее которой она должна была быть проведена в соответствии с </w:t>
      </w:r>
      <w:r w:rsidR="001732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положениями</w:t>
      </w:r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до даты выявления факта </w:t>
      </w:r>
      <w:proofErr w:type="spellStart"/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безучетного</w:t>
      </w:r>
      <w:proofErr w:type="spellEnd"/>
      <w:r w:rsidRPr="006F46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потребления и составления акта о неучтенном потреблении электрической энергии.</w:t>
      </w:r>
    </w:p>
    <w:p w14:paraId="269390D9" w14:textId="0FEDA3FC" w:rsidR="008360AC" w:rsidRPr="008360AC" w:rsidRDefault="008360AC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dst2119"/>
      <w:bookmarkEnd w:id="12"/>
      <w:r w:rsidRPr="008360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составления акта о неучтенном потреблении электрической энергии до даты замены прибора учета объем потребления электрической энергии (мощности) определяется в порядке, предусмотренном требованиями </w:t>
      </w:r>
      <w:hyperlink r:id="rId13" w:anchor="dst2297" w:history="1">
        <w:r w:rsidRPr="008360AC">
          <w:rPr>
            <w:rFonts w:ascii="Arial" w:eastAsia="Times New Roman" w:hAnsi="Arial" w:cs="Arial"/>
            <w:color w:val="666699"/>
            <w:sz w:val="20"/>
            <w:szCs w:val="20"/>
            <w:u w:val="single"/>
            <w:lang w:eastAsia="ru-RU"/>
          </w:rPr>
          <w:t>пункта 179</w:t>
        </w:r>
      </w:hyperlink>
      <w:r w:rsidRPr="008360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D75358"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Основных положений</w:t>
      </w:r>
      <w:r w:rsidRPr="008360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расчету объемов потребления электрической энергии (мощности) для случая непредоставления показаний прибора учета.</w:t>
      </w:r>
    </w:p>
    <w:p w14:paraId="78BF3CE9" w14:textId="203D5ABC" w:rsidR="00DF0292" w:rsidRDefault="00DF029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1</w:t>
      </w:r>
      <w:r w:rsidR="006F4674"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87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CCEA5B3" w14:textId="77777777" w:rsidR="001732FA" w:rsidRPr="00917F11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90ABE8" w14:textId="2F4DEEE2" w:rsidR="00DF0292" w:rsidRDefault="00DF0292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Оплата </w:t>
      </w:r>
      <w:proofErr w:type="spellStart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безучетного</w:t>
      </w:r>
      <w:proofErr w:type="spellEnd"/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потребления</w:t>
      </w:r>
    </w:p>
    <w:p w14:paraId="5BD23223" w14:textId="77777777" w:rsidR="001732FA" w:rsidRPr="00DF0292" w:rsidRDefault="001732FA" w:rsidP="001732F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A2B9B09" w14:textId="50A6CABE" w:rsidR="00C87A98" w:rsidRPr="00917F11" w:rsidRDefault="00C87A98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Стоимость электрической энергии в определенном в соответствии с </w:t>
      </w:r>
      <w:r w:rsidR="001732F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Основными положениями</w:t>
      </w:r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объеме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потребления включается гарантирующим поставщиком (энергосбытовой, энергоснабжающей организацией) в выставляемый потребителю (покупателю) счет на оплату стоимости электрической энергии (мощности), приобретенной по договору, обеспечивающему продажу электрической энергии (мощности), за тот расчетный период, в котором был выявлен факт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потребления и составлен акт о неучтенном потреблении электрической энергии. Указанный счет также должен содержать расчет объема и стоимости </w:t>
      </w:r>
      <w:proofErr w:type="spellStart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 w:rsidRPr="00917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потребления. Потребитель (покупатель) обязан оплатить указанный счет в срок, определенный в договоре, обеспечивающем продажу электрической энергии (мощности).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14:paraId="1C760221" w14:textId="4EB7C833" w:rsidR="00DF0292" w:rsidRDefault="00DF029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(п. </w:t>
      </w:r>
      <w:r w:rsidR="00C87A98"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187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</w:p>
    <w:p w14:paraId="7B88363F" w14:textId="77777777" w:rsidR="001732FA" w:rsidRPr="00DF0292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FA8874D" w14:textId="1163AFD9" w:rsidR="00DF0292" w:rsidRPr="00014E86" w:rsidRDefault="00DF0292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Стоимость электроэнергии в объеме выявленного бездоговорного потребления</w:t>
      </w:r>
    </w:p>
    <w:p w14:paraId="207FC3A7" w14:textId="77777777" w:rsidR="001732FA" w:rsidRPr="00DF0292" w:rsidRDefault="001732FA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6E317CE" w14:textId="3F89916D" w:rsidR="005E5538" w:rsidRDefault="005E5538" w:rsidP="00917F11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5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Стоимость электрической энергии в определенном в соответствии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Основными положениями</w:t>
      </w:r>
      <w:r w:rsidRPr="005E5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объеме бездоговорного потребления электрической энергии определяется исходя из цен (тарифов), указанных в </w:t>
      </w:r>
      <w:hyperlink r:id="rId14" w:anchor="dst100406" w:history="1">
        <w:r w:rsidRPr="005E5538">
          <w:rPr>
            <w:color w:val="000000"/>
            <w:sz w:val="20"/>
            <w:szCs w:val="20"/>
          </w:rPr>
          <w:t>разделе IV</w:t>
        </w:r>
      </w:hyperlink>
      <w:r w:rsidRPr="005E553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Основных положений</w:t>
      </w:r>
      <w:r w:rsidRPr="005E5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01E292A" w14:textId="1071C018" w:rsidR="00DF0292" w:rsidRPr="00DF0292" w:rsidRDefault="00DF029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п. </w:t>
      </w:r>
      <w:r w:rsidR="00FB5822"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189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EBF1021" w14:textId="77777777" w:rsidR="00FB5822" w:rsidRPr="00917F11" w:rsidRDefault="00FB582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74A37FED" w14:textId="76BA0EA0" w:rsidR="00DF0292" w:rsidRDefault="00DF0292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Расчет объема бездоговорного потребления</w:t>
      </w:r>
    </w:p>
    <w:p w14:paraId="5AD002FD" w14:textId="77777777" w:rsidR="001732FA" w:rsidRPr="00DF0292" w:rsidRDefault="001732FA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0089F02B" w14:textId="77777777" w:rsidR="00227D1D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бездоговорного потребления электрической энергии определяется расчетным способом, предусмотренным </w:t>
      </w:r>
      <w:hyperlink r:id="rId15" w:anchor="dst102605" w:history="1">
        <w:r w:rsidRPr="00FB5822">
          <w:rPr>
            <w:rFonts w:ascii="Arial" w:eastAsia="Times New Roman" w:hAnsi="Arial" w:cs="Arial"/>
            <w:color w:val="666699"/>
            <w:sz w:val="20"/>
            <w:szCs w:val="20"/>
            <w:u w:val="single"/>
            <w:lang w:eastAsia="ru-RU"/>
          </w:rPr>
          <w:t>пунктом 2</w:t>
        </w:r>
      </w:hyperlink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приложения N 3 </w:t>
      </w:r>
      <w:r w:rsidR="00917F11" w:rsidRPr="00917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Основных положений</w:t>
      </w: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 период времени, в течение которого осуществлялось бездоговорное потребление электрической энергии, но не более чем за один год. </w:t>
      </w:r>
    </w:p>
    <w:p w14:paraId="09AF6ABC" w14:textId="385DC637" w:rsidR="00FB5822" w:rsidRPr="00FB5822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этом:</w:t>
      </w:r>
    </w:p>
    <w:p w14:paraId="299E65AC" w14:textId="77777777" w:rsidR="00FB5822" w:rsidRPr="00FB5822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dst2125"/>
      <w:bookmarkEnd w:id="13"/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 времени,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хозяйства, определяется с даты предыдущей контрольной проверки технического состояния объектов электросетевого хозяйства в месте, где позже был выявлен факт бездоговорного потребления электрической энергии, до даты выявления факта бездоговорного потребления электрической энергии и составления акта о неучтенном потреблении электрической энергии;</w:t>
      </w:r>
    </w:p>
    <w:p w14:paraId="1CAF9E5C" w14:textId="77777777" w:rsidR="00227D1D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dst2126"/>
      <w:bookmarkEnd w:id="14"/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период времени,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энергии,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(в зависимости от того, какая из них наступила позднее) до даты выявления факта бездоговорного потребления электрической энергии и составления акта о неучтенном потреблении электрической энергии. </w:t>
      </w:r>
    </w:p>
    <w:p w14:paraId="3CAF33E1" w14:textId="46CF6056" w:rsidR="00FB5822" w:rsidRPr="00FB5822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проверка введенного ограничения ранее не проводилась и составление акта о неучтенном потреблении не осуществлялось, период времени,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энергии, определяется с даты введения полного ограничения режима потребления электрической энергии, указанной в направленном инициатором ограничения режима потребления исполнителю (</w:t>
      </w:r>
      <w:proofErr w:type="spellStart"/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субисполнителю</w:t>
      </w:r>
      <w:proofErr w:type="spellEnd"/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уведомлении о необходимости введения ограничения режима потребления (даты, следующей за датой получения (</w:t>
      </w:r>
      <w:proofErr w:type="spellStart"/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субисполнителем</w:t>
      </w:r>
      <w:proofErr w:type="spellEnd"/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 потребителя уведомления о готовности к введению полного ограничения режима потребления), до даты выявления факта бездоговорного потребления электрической энергии и составления акта о неучтенном потреблении электрической энергии.</w:t>
      </w:r>
    </w:p>
    <w:p w14:paraId="3F6FA6EE" w14:textId="29DA40FB" w:rsidR="00DF0292" w:rsidRDefault="00DF029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dst2127"/>
      <w:bookmarkStart w:id="16" w:name="dst2131"/>
      <w:bookmarkEnd w:id="15"/>
      <w:bookmarkEnd w:id="16"/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 1</w:t>
      </w:r>
      <w:r w:rsidR="00FB5822"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89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4FBB5FA" w14:textId="77777777" w:rsidR="001732FA" w:rsidRPr="00DF0292" w:rsidRDefault="001732FA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9703268" w14:textId="0F8F62C0" w:rsidR="00DF0292" w:rsidRDefault="00DF0292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Оплата бездоговорного потребления</w:t>
      </w:r>
    </w:p>
    <w:p w14:paraId="0ACC10D5" w14:textId="77777777" w:rsidR="001732FA" w:rsidRPr="00DF0292" w:rsidRDefault="001732FA" w:rsidP="001732FA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C9E2FD4" w14:textId="4A09661B" w:rsidR="00FB5822" w:rsidRPr="00FB5822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Сетевая организация оформляет счет для оплаты стоимости электрической энергии в объеме бездоговорного потребления электрической энергии, который должен содержать расчет стоимости бездоговорного потребления электрической энергии, и направляет его лицу, осуществившему бездоговорное потребление электрической энергии, способом, позволяющим подтвердить факт его получения, вместе с актом о неучтенном потреблении электрической энергии в срок, установленный </w:t>
      </w:r>
      <w:hyperlink r:id="rId16" w:anchor="dst2056" w:history="1">
        <w:r w:rsidRPr="00FB5822">
          <w:rPr>
            <w:rFonts w:ascii="Arial" w:eastAsia="Times New Roman" w:hAnsi="Arial" w:cs="Arial"/>
            <w:color w:val="666699"/>
            <w:sz w:val="20"/>
            <w:szCs w:val="20"/>
            <w:u w:val="single"/>
            <w:lang w:eastAsia="ru-RU"/>
          </w:rPr>
          <w:t>пунктом 177</w:t>
        </w:r>
      </w:hyperlink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732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Основных </w:t>
      </w:r>
      <w:r w:rsidR="001732FA" w:rsidRPr="00014E86">
        <w:rPr>
          <w:rFonts w:ascii="Arial" w:eastAsia="Times New Roman" w:hAnsi="Arial" w:cs="Arial"/>
          <w:sz w:val="20"/>
          <w:szCs w:val="20"/>
          <w:lang w:eastAsia="ru-RU"/>
        </w:rPr>
        <w:t>положений</w:t>
      </w:r>
      <w:r w:rsidRPr="00014E8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014E86" w:rsidRPr="00014E86">
        <w:rPr>
          <w:rFonts w:ascii="Calibri" w:hAnsi="Calibri" w:cs="Calibri"/>
          <w:shd w:val="clear" w:color="auto" w:fill="FFFFFF"/>
        </w:rPr>
        <w:t>или в течение 2 рабочих дней со дня определения в порядке, установленном Основными положениями,</w:t>
      </w:r>
      <w:r w:rsidR="00014E86" w:rsidRPr="00014E86">
        <w:rPr>
          <w:rFonts w:ascii="Calibri" w:hAnsi="Calibri" w:cs="Calibri"/>
          <w:shd w:val="clear" w:color="auto" w:fill="FFFFFF"/>
        </w:rPr>
        <w:t xml:space="preserve"> </w:t>
      </w:r>
      <w:r w:rsidRPr="00014E86">
        <w:rPr>
          <w:rFonts w:ascii="Arial" w:eastAsia="Times New Roman" w:hAnsi="Arial" w:cs="Arial"/>
          <w:sz w:val="20"/>
          <w:szCs w:val="20"/>
          <w:lang w:eastAsia="ru-RU"/>
        </w:rPr>
        <w:t>цены бездоговорного потребления электрической энергии.</w:t>
      </w:r>
    </w:p>
    <w:p w14:paraId="2B9D98C1" w14:textId="77777777" w:rsidR="00FB5822" w:rsidRPr="00FB5822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Лицо, осуществившее бездоговорное потребление электрической энергии,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счета.</w:t>
      </w:r>
    </w:p>
    <w:p w14:paraId="57F9FB8E" w14:textId="77777777" w:rsidR="00FB5822" w:rsidRPr="00FB5822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отказе лица, осуществившего бездоговорное потребление электрической энергии,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энергии.</w:t>
      </w:r>
    </w:p>
    <w:p w14:paraId="2C344F74" w14:textId="35E16511" w:rsidR="00FB5822" w:rsidRPr="00FB5822" w:rsidRDefault="00FB5822" w:rsidP="00917F1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Иной владелец объектов электросетевого хозяйства, к которым непосредственно присоединены энергопринимающие устройства (объекты электросетевого хозяйства) лица, осуществляющего бездоговорное потребление электрической энергии,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порядке, аналогичном порядку, установленному </w:t>
      </w:r>
      <w:r w:rsidR="001732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положениями</w:t>
      </w:r>
      <w:r w:rsidRPr="00FB5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сетевой организации.</w:t>
      </w:r>
    </w:p>
    <w:p w14:paraId="6DD8D8F3" w14:textId="50A2C5E9" w:rsidR="00FB5822" w:rsidRPr="00DF0292" w:rsidRDefault="00FB5822" w:rsidP="00917F1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(п. </w:t>
      </w:r>
      <w:r w:rsidRPr="00917F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189</w:t>
      </w:r>
      <w:r w:rsidRPr="00DF02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Основных положений)</w:t>
      </w:r>
      <w:r w:rsidRPr="00DF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00E34AA" w14:textId="77777777" w:rsidR="00FB5822" w:rsidRPr="00917F11" w:rsidRDefault="00FB5822" w:rsidP="00917F11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FB5822" w:rsidRPr="00917F11" w:rsidSect="001732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785"/>
    <w:multiLevelType w:val="multilevel"/>
    <w:tmpl w:val="40C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9448A"/>
    <w:multiLevelType w:val="multilevel"/>
    <w:tmpl w:val="2DA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465B3"/>
    <w:multiLevelType w:val="multilevel"/>
    <w:tmpl w:val="C00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A14D2"/>
    <w:multiLevelType w:val="multilevel"/>
    <w:tmpl w:val="C91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92"/>
    <w:rsid w:val="00014E86"/>
    <w:rsid w:val="00141B19"/>
    <w:rsid w:val="001602A3"/>
    <w:rsid w:val="001732FA"/>
    <w:rsid w:val="00227D1D"/>
    <w:rsid w:val="005E5538"/>
    <w:rsid w:val="006F4674"/>
    <w:rsid w:val="00782E5B"/>
    <w:rsid w:val="008360AC"/>
    <w:rsid w:val="00917F11"/>
    <w:rsid w:val="00C87A98"/>
    <w:rsid w:val="00D407E8"/>
    <w:rsid w:val="00D75358"/>
    <w:rsid w:val="00DF0292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7043"/>
  <w15:chartTrackingRefBased/>
  <w15:docId w15:val="{A1EAB3C2-0207-43F5-BFE7-5B00016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0292"/>
  </w:style>
  <w:style w:type="character" w:styleId="a3">
    <w:name w:val="Hyperlink"/>
    <w:basedOn w:val="a0"/>
    <w:uiPriority w:val="99"/>
    <w:semiHidden/>
    <w:unhideWhenUsed/>
    <w:rsid w:val="00DF02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962/f7e45d62c761d80c96cf15943de9a3bd8363ac90/" TargetMode="External"/><Relationship Id="rId13" Type="http://schemas.openxmlformats.org/officeDocument/2006/relationships/hyperlink" Target="http://www.consultant.ru/document/cons_doc_LAW_378962/f7e45d62c761d80c96cf15943de9a3bd8363ac9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962/f7e45d62c761d80c96cf15943de9a3bd8363ac90/" TargetMode="External"/><Relationship Id="rId12" Type="http://schemas.openxmlformats.org/officeDocument/2006/relationships/hyperlink" Target="http://www.consultant.ru/document/cons_doc_LAW_378962/45f270c4dd239e6d9d8e504c693570098e9c3c5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8962/f7e45d62c761d80c96cf15943de9a3bd8363ac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8962/f7e45d62c761d80c96cf15943de9a3bd8363ac90/" TargetMode="External"/><Relationship Id="rId11" Type="http://schemas.openxmlformats.org/officeDocument/2006/relationships/hyperlink" Target="http://www.consultant.ru/document/cons_doc_LAW_378962/45f270c4dd239e6d9d8e504c693570098e9c3c58/" TargetMode="External"/><Relationship Id="rId5" Type="http://schemas.openxmlformats.org/officeDocument/2006/relationships/hyperlink" Target="http://www.consultant.ru/document/cons_doc_LAW_378962/f7e45d62c761d80c96cf15943de9a3bd8363ac90/" TargetMode="External"/><Relationship Id="rId15" Type="http://schemas.openxmlformats.org/officeDocument/2006/relationships/hyperlink" Target="http://www.consultant.ru/document/cons_doc_LAW_378962/45f270c4dd239e6d9d8e504c693570098e9c3c58/" TargetMode="External"/><Relationship Id="rId10" Type="http://schemas.openxmlformats.org/officeDocument/2006/relationships/hyperlink" Target="http://www.consultant.ru/document/cons_doc_LAW_378962/f7e45d62c761d80c96cf15943de9a3bd8363ac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962/f7e45d62c761d80c96cf15943de9a3bd8363ac90/" TargetMode="External"/><Relationship Id="rId14" Type="http://schemas.openxmlformats.org/officeDocument/2006/relationships/hyperlink" Target="http://www.consultant.ru/document/cons_doc_LAW_378962/c0a4c9ba7d0a1079b6b71f02931ba8e77a5dc3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K.Koroleva</dc:creator>
  <cp:keywords/>
  <dc:description/>
  <cp:lastModifiedBy>K.Koroleva</cp:lastModifiedBy>
  <cp:revision>3</cp:revision>
  <cp:lastPrinted>2021-06-15T07:41:00Z</cp:lastPrinted>
  <dcterms:created xsi:type="dcterms:W3CDTF">2021-06-15T07:40:00Z</dcterms:created>
  <dcterms:modified xsi:type="dcterms:W3CDTF">2021-06-18T11:57:00Z</dcterms:modified>
</cp:coreProperties>
</file>